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DCE" w:rsidRDefault="00163DCE" w:rsidP="00163DCE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C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12E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185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5822" w:rsidRPr="00585822" w:rsidRDefault="00585822" w:rsidP="00585822">
      <w:pPr>
        <w:shd w:val="clear" w:color="auto" w:fill="FFFFFF"/>
        <w:spacing w:after="225" w:line="336" w:lineRule="atLeast"/>
        <w:ind w:right="283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порядке планирования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Бураевский</w:t>
      </w:r>
      <w:proofErr w:type="spellEnd"/>
      <w:r w:rsidRPr="00585822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8582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585822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58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585822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822">
        <w:rPr>
          <w:rFonts w:ascii="Times New Roman" w:hAnsi="Times New Roman" w:cs="Times New Roman"/>
          <w:sz w:val="28"/>
          <w:szCs w:val="28"/>
        </w:rPr>
        <w:t xml:space="preserve"> от 06 октября 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585822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822">
        <w:rPr>
          <w:rFonts w:ascii="Times New Roman" w:hAnsi="Times New Roman" w:cs="Times New Roman"/>
          <w:sz w:val="28"/>
          <w:szCs w:val="28"/>
        </w:rPr>
        <w:t xml:space="preserve"> от 21 декабря 2001 № 178-ФЗ «О приватизации государственного и муниципального имущества», </w:t>
      </w:r>
      <w:r w:rsidRPr="0058582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17.10.2019 N 1341 "О внесении изменений в Правила реализации древесины, которая получена</w:t>
      </w:r>
      <w:proofErr w:type="gramEnd"/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лесов, расположенных на землях лесного фонда, в соответствии со статьями 43 - 46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Федерации", </w:t>
      </w:r>
      <w:r w:rsidRPr="005858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Башкортостан, Совет сельского</w:t>
      </w:r>
      <w:proofErr w:type="gramEnd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</w:t>
      </w:r>
      <w:r w:rsidRPr="00585822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858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5822" w:rsidRPr="00585822" w:rsidRDefault="00585822" w:rsidP="00585822">
      <w:pPr>
        <w:pStyle w:val="a6"/>
        <w:jc w:val="both"/>
        <w:rPr>
          <w:rFonts w:ascii="Times New Roman" w:hAnsi="Times New Roman" w:cs="Times New Roman"/>
          <w:sz w:val="28"/>
        </w:rPr>
      </w:pPr>
      <w:r w:rsidRPr="00585822">
        <w:rPr>
          <w:rFonts w:ascii="Times New Roman" w:hAnsi="Times New Roman" w:cs="Times New Roman"/>
          <w:sz w:val="28"/>
        </w:rPr>
        <w:t>1. Утвердить прилагаемые:</w:t>
      </w:r>
    </w:p>
    <w:p w:rsidR="00585822" w:rsidRPr="00585822" w:rsidRDefault="00585822" w:rsidP="00585822">
      <w:pPr>
        <w:pStyle w:val="a6"/>
        <w:jc w:val="both"/>
        <w:rPr>
          <w:rFonts w:ascii="Times New Roman" w:hAnsi="Times New Roman" w:cs="Times New Roman"/>
          <w:sz w:val="28"/>
        </w:rPr>
      </w:pPr>
      <w:r w:rsidRPr="00585822">
        <w:rPr>
          <w:rFonts w:ascii="Times New Roman" w:hAnsi="Times New Roman" w:cs="Times New Roman"/>
          <w:sz w:val="28"/>
        </w:rPr>
        <w:t xml:space="preserve">- Положение о порядке планирования приватизации муниципального имущества </w:t>
      </w:r>
      <w:r w:rsidRPr="00585822">
        <w:rPr>
          <w:rFonts w:ascii="Times New Roman" w:hAnsi="Times New Roman" w:cs="Times New Roman"/>
          <w:bCs/>
          <w:kern w:val="28"/>
          <w:sz w:val="28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kern w:val="28"/>
          <w:sz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kern w:val="28"/>
          <w:sz w:val="28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kern w:val="28"/>
          <w:sz w:val="28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kern w:val="28"/>
          <w:sz w:val="28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 w:val="28"/>
        </w:rPr>
        <w:t>;</w:t>
      </w:r>
    </w:p>
    <w:p w:rsidR="00585822" w:rsidRPr="00585822" w:rsidRDefault="00585822" w:rsidP="00585822">
      <w:pPr>
        <w:pStyle w:val="a6"/>
        <w:jc w:val="both"/>
        <w:rPr>
          <w:rFonts w:ascii="Times New Roman" w:hAnsi="Times New Roman" w:cs="Times New Roman"/>
          <w:sz w:val="28"/>
        </w:rPr>
      </w:pPr>
      <w:r w:rsidRPr="00585822">
        <w:rPr>
          <w:rFonts w:ascii="Times New Roman" w:hAnsi="Times New Roman" w:cs="Times New Roman"/>
          <w:sz w:val="28"/>
        </w:rPr>
        <w:t xml:space="preserve">- форму прогнозного плана (программы) приватизации объектов муниципальной собственности </w:t>
      </w:r>
      <w:r w:rsidRPr="00585822">
        <w:rPr>
          <w:rFonts w:ascii="Times New Roman" w:hAnsi="Times New Roman" w:cs="Times New Roman"/>
          <w:bCs/>
          <w:kern w:val="28"/>
          <w:sz w:val="28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kern w:val="28"/>
          <w:sz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kern w:val="28"/>
          <w:sz w:val="28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kern w:val="28"/>
          <w:sz w:val="28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kern w:val="28"/>
          <w:sz w:val="28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 w:val="28"/>
        </w:rPr>
        <w:t xml:space="preserve"> </w:t>
      </w:r>
    </w:p>
    <w:p w:rsidR="00585822" w:rsidRPr="00585822" w:rsidRDefault="00585822" w:rsidP="00585822">
      <w:pPr>
        <w:pStyle w:val="a6"/>
        <w:jc w:val="both"/>
        <w:rPr>
          <w:rFonts w:ascii="Times New Roman" w:hAnsi="Times New Roman" w:cs="Times New Roman"/>
          <w:sz w:val="28"/>
        </w:rPr>
      </w:pPr>
      <w:r w:rsidRPr="00585822">
        <w:rPr>
          <w:rFonts w:ascii="Times New Roman" w:hAnsi="Times New Roman" w:cs="Times New Roman"/>
          <w:sz w:val="28"/>
        </w:rPr>
        <w:t>2. Настоящее решение вступает в силу со дня его официального обнародования.</w:t>
      </w:r>
    </w:p>
    <w:p w:rsidR="00585822" w:rsidRDefault="00585822" w:rsidP="00585822">
      <w:pPr>
        <w:pStyle w:val="a6"/>
        <w:jc w:val="both"/>
        <w:rPr>
          <w:rFonts w:ascii="Times New Roman" w:hAnsi="Times New Roman" w:cs="Times New Roman"/>
          <w:sz w:val="28"/>
        </w:rPr>
      </w:pPr>
      <w:r w:rsidRPr="0058582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585822">
        <w:rPr>
          <w:rFonts w:ascii="Times New Roman" w:hAnsi="Times New Roman" w:cs="Times New Roman"/>
          <w:sz w:val="28"/>
        </w:rPr>
        <w:t>Контроль за</w:t>
      </w:r>
      <w:proofErr w:type="gramEnd"/>
      <w:r w:rsidRPr="00585822">
        <w:rPr>
          <w:rFonts w:ascii="Times New Roman" w:hAnsi="Times New Roman" w:cs="Times New Roman"/>
          <w:sz w:val="28"/>
        </w:rPr>
        <w:t xml:space="preserve"> исполнением данного решения возлагаю</w:t>
      </w:r>
      <w:r>
        <w:rPr>
          <w:rFonts w:ascii="Times New Roman" w:hAnsi="Times New Roman" w:cs="Times New Roman"/>
          <w:sz w:val="28"/>
        </w:rPr>
        <w:t xml:space="preserve"> на себя.</w:t>
      </w:r>
    </w:p>
    <w:p w:rsidR="00585822" w:rsidRPr="00585822" w:rsidRDefault="00585822" w:rsidP="00585822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585822" w:rsidRPr="00585822" w:rsidRDefault="00585822" w:rsidP="00585822">
      <w:pPr>
        <w:pStyle w:val="3"/>
        <w:ind w:firstLine="0"/>
        <w:rPr>
          <w:b/>
        </w:rPr>
      </w:pPr>
      <w:r w:rsidRPr="00585822">
        <w:rPr>
          <w:b/>
        </w:rPr>
        <w:t>Председатель Совета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585822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585822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585822">
        <w:rPr>
          <w:rFonts w:ascii="Times New Roman" w:hAnsi="Times New Roman" w:cs="Times New Roman"/>
          <w:b/>
          <w:sz w:val="28"/>
        </w:rPr>
        <w:t xml:space="preserve"> район 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                                       Нафикова Н.Н.                                    </w:t>
      </w:r>
    </w:p>
    <w:p w:rsidR="00585822" w:rsidRPr="00585822" w:rsidRDefault="00585822" w:rsidP="00585822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</w:t>
      </w:r>
      <w:r w:rsidR="00163D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585822" w:rsidRPr="00585822" w:rsidRDefault="00585822" w:rsidP="0058582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85822">
        <w:rPr>
          <w:rFonts w:ascii="Times New Roman" w:hAnsi="Times New Roman" w:cs="Times New Roman"/>
          <w:color w:val="000000"/>
          <w:szCs w:val="22"/>
        </w:rPr>
        <w:t xml:space="preserve">  </w:t>
      </w:r>
      <w:r w:rsidRPr="00585822">
        <w:rPr>
          <w:rFonts w:ascii="Times New Roman" w:hAnsi="Times New Roman" w:cs="Times New Roman"/>
          <w:szCs w:val="22"/>
        </w:rPr>
        <w:t>Утверждено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5822">
        <w:rPr>
          <w:rFonts w:ascii="Times New Roman" w:hAnsi="Times New Roman" w:cs="Times New Roman"/>
          <w:szCs w:val="22"/>
        </w:rPr>
        <w:t>Решением Совета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Cs w:val="22"/>
        </w:rPr>
      </w:pPr>
      <w:r w:rsidRPr="00585822">
        <w:rPr>
          <w:rFonts w:ascii="Times New Roman" w:hAnsi="Times New Roman" w:cs="Times New Roman"/>
          <w:bCs/>
          <w:color w:val="000000"/>
          <w:kern w:val="28"/>
          <w:szCs w:val="22"/>
        </w:rPr>
        <w:t xml:space="preserve">сельского поселения 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28"/>
          <w:szCs w:val="22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Cs w:val="22"/>
        </w:rPr>
        <w:t xml:space="preserve"> сельсовет </w:t>
      </w:r>
    </w:p>
    <w:p w:rsidR="00585822" w:rsidRPr="00585822" w:rsidRDefault="00163DCE" w:rsidP="0058582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</w:t>
      </w:r>
      <w:r w:rsidR="00C12ECD">
        <w:rPr>
          <w:rFonts w:ascii="Times New Roman" w:hAnsi="Times New Roman" w:cs="Times New Roman"/>
          <w:szCs w:val="22"/>
        </w:rPr>
        <w:t>03</w:t>
      </w:r>
      <w:bookmarkStart w:id="0" w:name="_GoBack"/>
      <w:bookmarkEnd w:id="0"/>
      <w:r w:rsidR="00585822" w:rsidRPr="00585822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марта </w:t>
      </w:r>
      <w:r w:rsidR="00585822" w:rsidRPr="00585822">
        <w:rPr>
          <w:rFonts w:ascii="Times New Roman" w:hAnsi="Times New Roman" w:cs="Times New Roman"/>
          <w:szCs w:val="22"/>
        </w:rPr>
        <w:t xml:space="preserve"> 2022г. №</w:t>
      </w:r>
      <w:r>
        <w:rPr>
          <w:rFonts w:ascii="Times New Roman" w:hAnsi="Times New Roman" w:cs="Times New Roman"/>
          <w:szCs w:val="22"/>
        </w:rPr>
        <w:t xml:space="preserve"> 185</w:t>
      </w:r>
      <w:r w:rsidR="00585822" w:rsidRPr="00585822">
        <w:rPr>
          <w:rFonts w:ascii="Times New Roman" w:hAnsi="Times New Roman" w:cs="Times New Roman"/>
          <w:szCs w:val="22"/>
        </w:rPr>
        <w:t xml:space="preserve"> 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585822">
        <w:rPr>
          <w:rFonts w:ascii="Times New Roman" w:hAnsi="Times New Roman" w:cs="Times New Roman"/>
          <w:color w:val="000000"/>
        </w:rPr>
        <w:t> </w:t>
      </w:r>
    </w:p>
    <w:p w:rsidR="00585822" w:rsidRPr="00163DCE" w:rsidRDefault="00585822" w:rsidP="00163DCE">
      <w:pPr>
        <w:shd w:val="clear" w:color="auto" w:fill="FFFFFF"/>
        <w:spacing w:after="225" w:line="336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DCE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85822" w:rsidRPr="00163DCE" w:rsidRDefault="00585822" w:rsidP="00163DCE">
      <w:pPr>
        <w:shd w:val="clear" w:color="auto" w:fill="FFFFFF"/>
        <w:spacing w:after="225" w:line="336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DCE">
        <w:rPr>
          <w:rFonts w:ascii="Times New Roman" w:hAnsi="Times New Roman" w:cs="Times New Roman"/>
          <w:b/>
          <w:color w:val="000000"/>
          <w:sz w:val="24"/>
          <w:szCs w:val="24"/>
        </w:rPr>
        <w:t>о порядке планирования приватизации муниципального имущества</w:t>
      </w:r>
      <w:r w:rsidRPr="00163DC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63DC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сельского поселения </w:t>
      </w:r>
      <w:proofErr w:type="spellStart"/>
      <w:r w:rsidRPr="00163DC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163DC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Pr="00163DC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163DC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 1.1. </w:t>
      </w: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планирования приватизации муниципального имущества </w:t>
      </w:r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Положение) разработано в соответствии с Федеральными </w:t>
      </w:r>
      <w:hyperlink r:id="rId10" w:history="1">
        <w:r w:rsidRPr="00585822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5822">
        <w:rPr>
          <w:rStyle w:val="a7"/>
          <w:rFonts w:ascii="Times New Roman" w:hAnsi="Times New Roman" w:cs="Times New Roman"/>
          <w:sz w:val="24"/>
          <w:szCs w:val="24"/>
        </w:rPr>
        <w:t>ми</w:t>
      </w:r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85822">
          <w:rPr>
            <w:rStyle w:val="a7"/>
            <w:rFonts w:ascii="Times New Roman" w:hAnsi="Times New Roman" w:cs="Times New Roman"/>
            <w:sz w:val="24"/>
            <w:szCs w:val="24"/>
          </w:rPr>
          <w:t>от 06 октября 2003 № 131-ФЗ</w:t>
        </w:r>
      </w:hyperlink>
      <w:r w:rsidRPr="0058582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585822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85822">
          <w:rPr>
            <w:rStyle w:val="a7"/>
            <w:rFonts w:ascii="Times New Roman" w:hAnsi="Times New Roman" w:cs="Times New Roman"/>
            <w:sz w:val="24"/>
            <w:szCs w:val="24"/>
          </w:rPr>
          <w:t>от 21 декабря 2001 № 178-ФЗ</w:t>
        </w:r>
      </w:hyperlink>
      <w:r w:rsidRPr="00585822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имущества», Постановлением Правительства РФ от 17.10.2019 N 1341 "О</w:t>
      </w:r>
      <w:proofErr w:type="gramEnd"/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822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Федерации",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</w:t>
      </w:r>
      <w:proofErr w:type="gram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  <w:proofErr w:type="gramStart"/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определяет порядок и условия приватизации имущества, находящегося в собственности </w:t>
      </w:r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, и связанные с ними отношения по управлению муниципальной собственностью.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природных ресурсов;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муниципального имущества, находящегося за пределами территории Российской Федерации;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и сооружения, находящиеся в собственности указанных организаций;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муниципального имущества на основании судебного решения;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муниципального жилищного фонда;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приватизации муниципального имущества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2.1. Основными целями приватизации муниципального имущества являются: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обеспечение и увеличение доходной части бюджета муниципальное образование;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уменьшение бюджетных расходов на содержание объектов муниципальной собственности;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использования муниципального имущества;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развития рынка недвижимости;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привлечение инвестиций, необходимых для производственного и социального развития муниципальное образование.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Планирование приватизации муниципального имущества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3.3. Проект прогнозного плана (программы) приватизации муниципального имущества направляется для его утверждения в Совет сельского</w:t>
      </w:r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поселения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одновременно с проектом бюджета на очередной финансовый год в составе прилагаемых к нему материалов.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3.4. Изменения и дополнения в прогнозный план (программу) могут быть внесены только по решению Совета </w:t>
      </w:r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3.6. Совет сельского поселения </w:t>
      </w:r>
      <w:proofErr w:type="spell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наименование имущества и иные позволяющие его индивидуализировать данные (характеристика имущества);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способ приватизации имущества;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Федерального закона от 21 декабря 2001 года N 178-ФЗ "О приватизации государственного и муниципального имущества";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срок рассрочки платежа (в случае ее предоставления);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иные необходимые для приватизации имущества сведения.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3.7. Отчет о выполнении прогнозного плана (программы) приватизации муниципального имущества за прошедший год утверждается Главой муниципального образования и представляется администрацией муниципального образования в Совет </w:t>
      </w:r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сельского поселения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 w:val="24"/>
          <w:szCs w:val="24"/>
        </w:rPr>
        <w:t xml:space="preserve">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одновременно с проектом отчета об исполнении бюджета муниципального образования за прошедший финансовый год.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3.9. Информация о результатах приватизации муниципального имущества за прошедший год представляется администрацией муниципального образования в уполномоченный орган государственной власти </w:t>
      </w:r>
      <w:r w:rsidRPr="0058582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 февраля текущего года в целях ее последующего (ежегодно не позднее 1 марта) представления органом государственной власти </w:t>
      </w:r>
      <w:r w:rsidRPr="0058582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, уполномоченный федеральный орган исполнительной власти.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Способы приватизации муниципального имущества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преобразование муниципального унитарного предприятия в акционерное общество;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преобразование муниципального унитарного предприятия в общество с ограниченной ответственностью;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продажа муниципального имущества на аукционе;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продажа акций акционерных обществ на специализированном аукционе;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продажа муниципального имущества на конкурсе;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продажа муниципального имущества посредством публичного предложения;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продажа муниципального имущества без объявления цены;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продажа акций акционерных обществ по результатам доверительного управления.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4.3. Специализированным аукционом признается способ продажи акций на открытых торгах, на </w:t>
      </w: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все победители получают акции открытого акционерного общества по единой цене за одну акцию.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4.4.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4.5.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4.6.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4.7.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приватизации муниципального имущества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В установленных законодательством Российской Федерации случаях администрация муниципального образования вправе привлечь к осуществлению отдельных функций продавца, отобранных на конкурсной основе юридических лиц на основании заключенных с ними договоров.</w:t>
      </w:r>
      <w:proofErr w:type="gramEnd"/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о продаже муниципального имущества подлежит размещению на официальном сайте </w:t>
      </w:r>
      <w:hyperlink r:id="rId14" w:history="1">
        <w:r w:rsidR="00ED1197" w:rsidRPr="008524B3">
          <w:rPr>
            <w:rStyle w:val="a7"/>
            <w:rFonts w:ascii="Times New Roman" w:hAnsi="Times New Roman" w:cs="Times New Roman"/>
            <w:sz w:val="24"/>
            <w:szCs w:val="24"/>
          </w:rPr>
          <w:t>https://spbadrakovski.ru/</w:t>
        </w:r>
      </w:hyperlink>
      <w:r w:rsidR="00ED1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t>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наименование продавца и реквизиты решения (наименование муниципального образования) об условиях приватизации муниципального имущества;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способ приватизации;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начальная цена;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форма подачи предложений о цене;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условия и сроки платежа, необходимые реквизиты счетов;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порядок, место, даты начала и окончания подачи заявок (предложений);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срок заключения договора купли-продажи;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иные сведения в соответствии с законодательством Российской Федерации.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порядок определения победителей;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размер, срок и порядок внесения задатка, необходимые реквизиты счетов;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место и срок подведения итогов;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условия конкурса (при продаже муниципального имущества на конкурсе);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форма бланка заявки (при продаже акций на специализированном аукционе);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дата и место проведения конкурса, аукциона.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от 21 декабря 2001 года N 178-ФЗ "О приватизации государственного и муниципального имущества";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численность работников хозяйственного общества;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5.5. Претенденты на покупку муниципального имущества представляют следующие документы: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заявку в 2-х экземплярах;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Физические лица предъявляют документ, удостоверяющий личность.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br/>
        <w:t>Юридические лица дополнительно представляют следующие документы: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нотариально заверенные копии учредительных документов;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иные документы, требование к предъявлению которых может быть установлено законом;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опись представленных документов в 2-х экземплярах, один из которых остается у продавца, другой - у претендента.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5.6. В случае</w:t>
      </w: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№ 178-ФЗ.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5.12.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5.13. К информации о результатах сделок приватизации муниципального имущества относятся следующие сведения: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наименование продавца такого имущества;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дата, время и место проведения торгов;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цена сделки приватизации;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имя физического лица или наименование юридического лица - победителя торгов. 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Оформление сделок купли-продажи муниципального имущества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 6.1. Продажа муниципального имущества оформляется договором купли-продажи.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6.2. Обязательными условиями договора купли-продажи муниципального имущества являются: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822">
        <w:rPr>
          <w:rFonts w:ascii="Times New Roman" w:hAnsi="Times New Roman" w:cs="Times New Roman"/>
          <w:color w:val="000000"/>
          <w:sz w:val="24"/>
          <w:szCs w:val="24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сроки исполнения покупателем обязательств в отношении приобретаемого муниципального имущества;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Оплата и распределение денежных средств от продажи муниципального имущества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Покупатель вправе оплатить приобретаемое муниципальное имущество досрочно.</w:t>
      </w:r>
      <w:r w:rsidRPr="00585822">
        <w:rPr>
          <w:rFonts w:ascii="Times New Roman" w:hAnsi="Times New Roman" w:cs="Times New Roman"/>
          <w:color w:val="000000"/>
          <w:sz w:val="24"/>
          <w:szCs w:val="24"/>
        </w:rPr>
        <w:br/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822">
        <w:rPr>
          <w:rFonts w:ascii="Times New Roman" w:hAnsi="Times New Roman" w:cs="Times New Roman"/>
          <w:color w:val="000000"/>
          <w:sz w:val="24"/>
          <w:szCs w:val="24"/>
        </w:rPr>
        <w:t xml:space="preserve"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соответствии с действующим законодательством.     </w:t>
      </w: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585822" w:rsidRPr="00585822" w:rsidRDefault="00585822" w:rsidP="0058582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85822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Cs w:val="22"/>
        </w:rPr>
      </w:pPr>
      <w:r w:rsidRPr="00585822">
        <w:rPr>
          <w:rFonts w:ascii="Times New Roman" w:hAnsi="Times New Roman" w:cs="Times New Roman"/>
          <w:szCs w:val="22"/>
        </w:rPr>
        <w:t>Решением Совета сельского</w:t>
      </w:r>
      <w:r w:rsidRPr="00585822">
        <w:rPr>
          <w:rFonts w:ascii="Times New Roman" w:hAnsi="Times New Roman" w:cs="Times New Roman"/>
          <w:bCs/>
          <w:color w:val="000000"/>
          <w:kern w:val="28"/>
          <w:szCs w:val="22"/>
        </w:rPr>
        <w:t xml:space="preserve"> поселения 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28"/>
          <w:szCs w:val="22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Cs w:val="22"/>
        </w:rPr>
        <w:t xml:space="preserve"> сельсовет муниципального района 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Cs w:val="22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Cs w:val="22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Cs w:val="22"/>
        </w:rPr>
        <w:t xml:space="preserve"> </w:t>
      </w:r>
    </w:p>
    <w:p w:rsidR="00585822" w:rsidRPr="00585822" w:rsidRDefault="00585822" w:rsidP="00585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5822">
        <w:rPr>
          <w:rFonts w:ascii="Times New Roman" w:hAnsi="Times New Roman" w:cs="Times New Roman"/>
          <w:szCs w:val="22"/>
        </w:rPr>
        <w:t>от «___» _____ 2022г. № ____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(программа) приватизации объектов муниципальной собственности </w:t>
      </w:r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Бадраковский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Бураевский</w:t>
      </w:r>
      <w:proofErr w:type="spellEnd"/>
      <w:r w:rsidRPr="0058582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585822">
        <w:rPr>
          <w:rFonts w:ascii="Times New Roman" w:hAnsi="Times New Roman" w:cs="Times New Roman"/>
          <w:sz w:val="28"/>
          <w:szCs w:val="28"/>
        </w:rPr>
        <w:t xml:space="preserve"> </w:t>
      </w: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на 20___ год   </w:t>
      </w:r>
    </w:p>
    <w:tbl>
      <w:tblPr>
        <w:tblpPr w:leftFromText="180" w:rightFromText="180" w:vertAnchor="text" w:horzAnchor="margin" w:tblpXSpec="center" w:tblpY="447"/>
        <w:tblW w:w="10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8"/>
        <w:gridCol w:w="536"/>
        <w:gridCol w:w="198"/>
        <w:gridCol w:w="667"/>
        <w:gridCol w:w="585"/>
        <w:gridCol w:w="225"/>
        <w:gridCol w:w="540"/>
        <w:gridCol w:w="540"/>
        <w:gridCol w:w="170"/>
        <w:gridCol w:w="979"/>
        <w:gridCol w:w="195"/>
        <w:gridCol w:w="484"/>
        <w:gridCol w:w="556"/>
        <w:gridCol w:w="1119"/>
        <w:gridCol w:w="367"/>
        <w:gridCol w:w="1197"/>
        <w:gridCol w:w="1155"/>
        <w:gridCol w:w="144"/>
      </w:tblGrid>
      <w:tr w:rsidR="00585822" w:rsidRPr="00585822" w:rsidTr="00911CA2">
        <w:tc>
          <w:tcPr>
            <w:tcW w:w="720" w:type="dxa"/>
            <w:vMerge w:val="restart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4" w:type="dxa"/>
            <w:gridSpan w:val="2"/>
            <w:vMerge w:val="restart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Адр-ес</w:t>
            </w:r>
            <w:proofErr w:type="spellEnd"/>
            <w:proofErr w:type="gramEnd"/>
          </w:p>
        </w:tc>
        <w:tc>
          <w:tcPr>
            <w:tcW w:w="4099" w:type="dxa"/>
            <w:gridSpan w:val="9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объекта       </w:t>
            </w:r>
          </w:p>
        </w:tc>
        <w:tc>
          <w:tcPr>
            <w:tcW w:w="4878" w:type="dxa"/>
            <w:gridSpan w:val="6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Обременение                          </w:t>
            </w: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c>
          <w:tcPr>
            <w:tcW w:w="720" w:type="dxa"/>
            <w:vMerge/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Разме-щение</w:t>
            </w:r>
            <w:proofErr w:type="spellEnd"/>
            <w:proofErr w:type="gramEnd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помещения </w:t>
            </w:r>
          </w:p>
        </w:tc>
        <w:tc>
          <w:tcPr>
            <w:tcW w:w="1305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Этаж-</w:t>
            </w:r>
            <w:proofErr w:type="spell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344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Пло-щадь</w:t>
            </w:r>
            <w:proofErr w:type="spellEnd"/>
            <w:proofErr w:type="gramEnd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кв. м   </w:t>
            </w:r>
          </w:p>
        </w:tc>
        <w:tc>
          <w:tcPr>
            <w:tcW w:w="48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675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Пользователь</w:t>
            </w:r>
          </w:p>
        </w:tc>
        <w:tc>
          <w:tcPr>
            <w:tcW w:w="1564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     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обременения</w:t>
            </w:r>
          </w:p>
        </w:tc>
        <w:tc>
          <w:tcPr>
            <w:tcW w:w="1155" w:type="dxa"/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арендная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плата 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(руб.)  </w:t>
            </w: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c>
          <w:tcPr>
            <w:tcW w:w="720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rPr>
          <w:trHeight w:val="200"/>
        </w:trPr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85822" w:rsidRPr="00585822" w:rsidRDefault="00585822" w:rsidP="0058582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  <w:vMerge w:val="restart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rPr>
          <w:trHeight w:val="520"/>
        </w:trPr>
        <w:tc>
          <w:tcPr>
            <w:tcW w:w="23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Предлагаемый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способ </w:t>
            </w:r>
            <w:proofErr w:type="spellStart"/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  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стоимость на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01.01.20__ г.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(руб.)        </w:t>
            </w:r>
          </w:p>
        </w:tc>
        <w:tc>
          <w:tcPr>
            <w:tcW w:w="123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Рыночная</w:t>
            </w:r>
            <w:proofErr w:type="gramEnd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стоимо-сть</w:t>
            </w:r>
            <w:proofErr w:type="spellEnd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(руб.)   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Прогноз-</w:t>
            </w:r>
            <w:proofErr w:type="spellStart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доход от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продажи   </w:t>
            </w: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(руб.)   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  <w:vMerge/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822" w:rsidRPr="00585822" w:rsidTr="00911CA2">
        <w:trPr>
          <w:trHeight w:val="276"/>
        </w:trPr>
        <w:tc>
          <w:tcPr>
            <w:tcW w:w="231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822" w:rsidRPr="00585822" w:rsidRDefault="00585822" w:rsidP="0091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c>
          <w:tcPr>
            <w:tcW w:w="2319" w:type="dxa"/>
            <w:gridSpan w:val="5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1350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 </w:t>
            </w:r>
          </w:p>
        </w:tc>
        <w:tc>
          <w:tcPr>
            <w:tcW w:w="1689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 </w:t>
            </w:r>
          </w:p>
        </w:tc>
        <w:tc>
          <w:tcPr>
            <w:tcW w:w="1235" w:type="dxa"/>
            <w:gridSpan w:val="3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 </w:t>
            </w:r>
          </w:p>
        </w:tc>
        <w:tc>
          <w:tcPr>
            <w:tcW w:w="1486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 </w:t>
            </w:r>
          </w:p>
        </w:tc>
        <w:tc>
          <w:tcPr>
            <w:tcW w:w="2352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c>
          <w:tcPr>
            <w:tcW w:w="918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7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after="225" w:line="336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5822" w:rsidRPr="00585822" w:rsidTr="00911CA2">
        <w:tc>
          <w:tcPr>
            <w:tcW w:w="720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</w:tcPr>
          <w:p w:rsidR="00585822" w:rsidRPr="00585822" w:rsidRDefault="00585822" w:rsidP="00911CA2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5822" w:rsidRPr="00585822" w:rsidRDefault="00585822" w:rsidP="00585822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822" w:rsidRPr="00585822" w:rsidRDefault="00585822" w:rsidP="00585822">
      <w:pPr>
        <w:rPr>
          <w:rFonts w:ascii="Times New Roman" w:hAnsi="Times New Roman" w:cs="Times New Roman"/>
        </w:rPr>
      </w:pPr>
    </w:p>
    <w:p w:rsidR="00650162" w:rsidRPr="00585822" w:rsidRDefault="00650162" w:rsidP="00650162">
      <w:pPr>
        <w:rPr>
          <w:rFonts w:ascii="Times New Roman" w:hAnsi="Times New Roman" w:cs="Times New Roman"/>
          <w:sz w:val="32"/>
        </w:rPr>
      </w:pPr>
    </w:p>
    <w:sectPr w:rsidR="00650162" w:rsidRPr="00585822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210246"/>
    <w:rsid w:val="00312256"/>
    <w:rsid w:val="003A6D98"/>
    <w:rsid w:val="003B59F5"/>
    <w:rsid w:val="003E3734"/>
    <w:rsid w:val="00450A2F"/>
    <w:rsid w:val="004E67CE"/>
    <w:rsid w:val="00585822"/>
    <w:rsid w:val="005975F2"/>
    <w:rsid w:val="00650162"/>
    <w:rsid w:val="0066633D"/>
    <w:rsid w:val="007C1EC1"/>
    <w:rsid w:val="007D1D1B"/>
    <w:rsid w:val="00822BD1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C12ECD"/>
    <w:rsid w:val="00C343F3"/>
    <w:rsid w:val="00CA0048"/>
    <w:rsid w:val="00CC3009"/>
    <w:rsid w:val="00D0788A"/>
    <w:rsid w:val="00DB7A21"/>
    <w:rsid w:val="00E1451C"/>
    <w:rsid w:val="00E40A69"/>
    <w:rsid w:val="00E51CBD"/>
    <w:rsid w:val="00E6370F"/>
    <w:rsid w:val="00E72285"/>
    <w:rsid w:val="00E819DE"/>
    <w:rsid w:val="00ED1197"/>
    <w:rsid w:val="00EE1F3E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6ede0023-a5d1-4b11-8881-70505f2fb9c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ea4730e2-0388-4aee-bd89-0cbc2c54574b" TargetMode="External"/><Relationship Id="rId12" Type="http://schemas.openxmlformats.org/officeDocument/2006/relationships/hyperlink" Target="http://zakon.scli.ru/ru/legal_texts/act_municipal_education/index.php?do4=document&amp;id4=6ede0023-a5d1-4b11-8881-70505f2fb9c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ede0023-a5d1-4b11-8881-70505f2fb9c9" TargetMode="External"/><Relationship Id="rId14" Type="http://schemas.openxmlformats.org/officeDocument/2006/relationships/hyperlink" Target="https://spbadrak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9</cp:revision>
  <cp:lastPrinted>2022-03-03T03:02:00Z</cp:lastPrinted>
  <dcterms:created xsi:type="dcterms:W3CDTF">2022-02-25T11:52:00Z</dcterms:created>
  <dcterms:modified xsi:type="dcterms:W3CDTF">2022-03-03T03:04:00Z</dcterms:modified>
</cp:coreProperties>
</file>